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Datatypes</w:t>
      </w:r>
      <w:r>
        <w:t xml:space="preserve"> </w:t>
      </w:r>
      <w:r>
        <w:t xml:space="preserve">in</w:t>
      </w:r>
      <w:r>
        <w:t xml:space="preserve"> </w:t>
      </w:r>
      <w:r>
        <w:t xml:space="preserve">C#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(07:59:47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7" w:name="value-types"/>
    <w:p>
      <w:pPr>
        <w:pStyle w:val="Heading1"/>
      </w:pPr>
      <w:r>
        <w:t xml:space="preserve">Value Types</w:t>
      </w:r>
    </w:p>
    <w:bookmarkStart w:id="24" w:name="numeric"/>
    <w:p>
      <w:pPr>
        <w:pStyle w:val="Heading2"/>
      </w:pPr>
      <w:r>
        <w:t xml:space="preserve">Numeric</w:t>
      </w:r>
    </w:p>
    <w:bookmarkStart w:id="21" w:name="signed-integer"/>
    <w:p>
      <w:pPr>
        <w:pStyle w:val="Heading3"/>
      </w:pPr>
      <w:r>
        <w:t xml:space="preserve">Signed Integer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721"/>
        <w:gridCol w:w="4476"/>
        <w:gridCol w:w="1721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Range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Size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sbyte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-128 to 127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Signed 8-bit integer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short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-32,768 to 32,767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Signed 16-bit integer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int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-2,147,483,648 to 2,147,483,647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Signed 32-bit integer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long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-9,223,372,036,854,775,808 to 9,223,372,036,854,775,807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Signed 64-bit integer</w:t>
            </w:r>
          </w:p>
        </w:tc>
      </w:tr>
    </w:tbl>
    <w:bookmarkEnd w:id="21"/>
    <w:bookmarkStart w:id="22" w:name="unsigned-integer"/>
    <w:p>
      <w:pPr>
        <w:pStyle w:val="Heading3"/>
      </w:pPr>
      <w:r>
        <w:t xml:space="preserve">Unsigned Integer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Range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Size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byte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 to 255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Unsigned 8-bit integer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ushort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 to 65,535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Unsigned 16-bit integer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uint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 to 4,294,967,295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Unsigned 32-bit integer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ulong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 to 18,446,744,073,709,551,615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Unsigned 64-bit integer</w:t>
            </w:r>
          </w:p>
        </w:tc>
      </w:tr>
    </w:tbl>
    <w:bookmarkEnd w:id="22"/>
    <w:bookmarkStart w:id="23" w:name="floating-point-numbers"/>
    <w:p>
      <w:pPr>
        <w:pStyle w:val="Heading3"/>
      </w:pPr>
      <w:r>
        <w:t xml:space="preserve">Floating-point Numbers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Approximate Range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Precision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float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±1.5e−45 to ±3.4e38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 digits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double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±5.0e−324 to ±1.7e308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15–16 digits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decimal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(-7.9 x 1028 to 7.9 x 1028)/(100 to 1028)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28–29 significant digits</w:t>
            </w:r>
          </w:p>
        </w:tc>
      </w:tr>
    </w:tbl>
    <w:bookmarkEnd w:id="23"/>
    <w:bookmarkEnd w:id="24"/>
    <w:bookmarkStart w:id="25" w:name="logical"/>
    <w:p>
      <w:pPr>
        <w:pStyle w:val="Heading2"/>
      </w:pPr>
      <w:r>
        <w:t xml:space="preserve">Logical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Possible Values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Size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bool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KeywordTok"/>
              </w:rPr>
              <w:t xml:space="preserve">true</w:t>
            </w:r>
            <w:r>
              <w:t xml:space="preserve">,</w:t>
            </w:r>
            <w:r>
              <w:t xml:space="preserve"> </w:t>
            </w:r>
            <w:r>
              <w:rPr>
                <w:rStyle w:val="KeywordTok"/>
              </w:rPr>
              <w:t xml:space="preserve">false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8-bit</w:t>
            </w:r>
          </w:p>
        </w:tc>
      </w:tr>
    </w:tbl>
    <w:bookmarkEnd w:id="25"/>
    <w:bookmarkStart w:id="26" w:name="character"/>
    <w:p>
      <w:pPr>
        <w:pStyle w:val="Heading2"/>
      </w:pPr>
      <w:r>
        <w:t xml:space="preserve">Character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Range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Size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char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U+0000 to U+ffff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Unicode 16-bit character</w:t>
            </w:r>
          </w:p>
        </w:tc>
      </w:tr>
    </w:tbl>
    <w:bookmarkEnd w:id="26"/>
    <w:bookmarkEnd w:id="27"/>
    <w:bookmarkStart w:id="28" w:name="literals"/>
    <w:p>
      <w:pPr>
        <w:pStyle w:val="Heading1"/>
      </w:pPr>
      <w:r>
        <w:t xml:space="preserve">Literals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Corresponding datatype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Examples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Integer Literal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int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ecValTok"/>
              </w:rPr>
              <w:t xml:space="preserve">40</w:t>
            </w:r>
            <w:r>
              <w:t xml:space="preserve">,</w:t>
            </w:r>
            <w:r>
              <w:t xml:space="preserve"> </w:t>
            </w:r>
            <w:r>
              <w:rPr>
                <w:rStyle w:val="OperatorTok"/>
              </w:rPr>
              <w:t xml:space="preserve">-</w:t>
            </w:r>
            <w:r>
              <w:rPr>
                <w:rStyle w:val="DecValTok"/>
              </w:rPr>
              <w:t xml:space="preserve">39</w:t>
            </w:r>
            <w:r>
              <w:t xml:space="preserve">,</w:t>
            </w:r>
            <w:r>
              <w:t xml:space="preserve"> </w:t>
            </w:r>
            <w:r>
              <w:rPr>
                <w:rStyle w:val="DecValTok"/>
              </w:rPr>
              <w:t xml:space="preserve">291838</w:t>
            </w:r>
            <w:r>
              <w:t xml:space="preserve">,</w:t>
            </w:r>
            <w: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t xml:space="preserve">, …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Float Literal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float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FloatTok"/>
              </w:rPr>
              <w:t xml:space="preserve">3.5F</w:t>
            </w:r>
            <w:r>
              <w:t xml:space="preserve">,</w:t>
            </w:r>
            <w:r>
              <w:t xml:space="preserve"> </w:t>
            </w:r>
            <w:r>
              <w:rPr>
                <w:rStyle w:val="OperatorTok"/>
              </w:rPr>
              <w:t xml:space="preserve">-</w:t>
            </w:r>
            <w:r>
              <w:rPr>
                <w:rStyle w:val="FloatTok"/>
              </w:rPr>
              <w:t xml:space="preserve">43.5f</w:t>
            </w:r>
            <w:r>
              <w:t xml:space="preserve">,</w:t>
            </w:r>
            <w:r>
              <w:t xml:space="preserve"> </w:t>
            </w:r>
            <w:r>
              <w:rPr>
                <w:rStyle w:val="FloatTok"/>
              </w:rPr>
              <w:t xml:space="preserve">309430.70006F</w:t>
            </w:r>
            <w:r>
              <w:t xml:space="preserve">, …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Double Literal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double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FloatTok"/>
              </w:rPr>
              <w:t xml:space="preserve">28.98</w:t>
            </w:r>
            <w:r>
              <w:t xml:space="preserve">,</w:t>
            </w:r>
            <w:r>
              <w:t xml:space="preserve"> </w:t>
            </w:r>
            <w:r>
              <w:rPr>
                <w:rStyle w:val="FloatTok"/>
              </w:rPr>
              <w:t xml:space="preserve">239.0</w:t>
            </w:r>
            <w:r>
              <w:t xml:space="preserve">,</w:t>
            </w:r>
            <w:r>
              <w:t xml:space="preserve"> </w:t>
            </w:r>
            <w:r>
              <w:rPr>
                <w:rStyle w:val="OperatorTok"/>
              </w:rPr>
              <w:t xml:space="preserve">-</w:t>
            </w:r>
            <w:r>
              <w:rPr>
                <w:rStyle w:val="FloatTok"/>
              </w:rPr>
              <w:t xml:space="preserve">391.089</w:t>
            </w:r>
            <w:r>
              <w:t xml:space="preserve">,</w:t>
            </w:r>
            <w:r>
              <w:t xml:space="preserve"> </w:t>
            </w:r>
            <w:r>
              <w:rPr>
                <w:rStyle w:val="FloatTok"/>
              </w:rPr>
              <w:t xml:space="preserve">0.0</w:t>
            </w:r>
            <w:r>
              <w:t xml:space="preserve">, …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Decimal Literal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decimal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FloatTok"/>
              </w:rPr>
              <w:t xml:space="preserve">8.95m</w:t>
            </w:r>
            <w:r>
              <w:t xml:space="preserve">,</w:t>
            </w:r>
            <w:r>
              <w:t xml:space="preserve"> </w:t>
            </w:r>
            <w:r>
              <w:rPr>
                <w:rStyle w:val="FloatTok"/>
              </w:rPr>
              <w:t xml:space="preserve">3283.9M</w:t>
            </w:r>
            <w:r>
              <w:t xml:space="preserve">,</w:t>
            </w:r>
            <w:r>
              <w:t xml:space="preserve"> </w:t>
            </w:r>
            <w:r>
              <w:rPr>
                <w:rStyle w:val="OperatorTok"/>
              </w:rPr>
              <w:t xml:space="preserve">-</w:t>
            </w:r>
            <w:r>
              <w:rPr>
                <w:rStyle w:val="NormalTok"/>
              </w:rPr>
              <w:t xml:space="preserve">30m</w:t>
            </w:r>
            <w:r>
              <w:t xml:space="preserve">, …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Boolean Literal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bool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KeywordTok"/>
              </w:rPr>
              <w:t xml:space="preserve">true</w:t>
            </w:r>
            <w:r>
              <w:t xml:space="preserve">,</w:t>
            </w:r>
            <w:r>
              <w:t xml:space="preserve"> </w:t>
            </w:r>
            <w:r>
              <w:rPr>
                <w:rStyle w:val="KeywordTok"/>
              </w:rPr>
              <w:t xml:space="preserve">false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Character Literal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char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CharTok"/>
              </w:rPr>
              <w:t xml:space="preserve">'Y'</w:t>
            </w:r>
            <w:r>
              <w:t xml:space="preserve">,</w:t>
            </w:r>
            <w:r>
              <w:t xml:space="preserve"> </w:t>
            </w:r>
            <w:r>
              <w:rPr>
                <w:rStyle w:val="CharTok"/>
              </w:rPr>
              <w:t xml:space="preserve">'a'</w:t>
            </w:r>
            <w:r>
              <w:t xml:space="preserve">,</w:t>
            </w:r>
            <w:r>
              <w:t xml:space="preserve"> </w:t>
            </w:r>
            <w:r>
              <w:rPr>
                <w:rStyle w:val="CharTok"/>
              </w:rPr>
              <w:t xml:space="preserve">'0'</w:t>
            </w:r>
            <w:r>
              <w:t xml:space="preserve">,</w:t>
            </w:r>
            <w:r>
              <w:t xml:space="preserve"> </w:t>
            </w:r>
            <w:r>
              <w:rPr>
                <w:rStyle w:val="CharTok"/>
              </w:rPr>
              <w:t xml:space="preserve">'\n'</w:t>
            </w:r>
            <w:r>
              <w:t xml:space="preserve">,</w:t>
            </w:r>
            <w:r>
              <w:t xml:space="preserve"> </w:t>
            </w:r>
            <w:r>
              <w:rPr>
                <w:rStyle w:val="CharTok"/>
              </w:rPr>
              <w:t xml:space="preserve">'\x0058'</w:t>
            </w:r>
            <w:r>
              <w:t xml:space="preserve">,</w:t>
            </w:r>
            <w:r>
              <w:t xml:space="preserve"> </w:t>
            </w:r>
            <w:r>
              <w:rPr>
                <w:rStyle w:val="NormalTok"/>
              </w:rPr>
              <w:t xml:space="preserve">'\u0058'</w:t>
            </w:r>
            <w:r>
              <w:t xml:space="preserve">, …</w:t>
            </w:r>
          </w:p>
        </w:tc>
      </w:tr>
    </w:tbl>
    <w:bookmarkEnd w:id="28"/>
    <w:bookmarkStart w:id="29" w:name="compatibility"/>
    <w:p>
      <w:pPr>
        <w:pStyle w:val="Heading1"/>
      </w:pPr>
      <w:r>
        <w:t xml:space="preserve">Compatibility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Integer Literal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Float Literal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Double Literal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Decimal Literal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Style w:val="DataTypeTok"/>
              </w:rPr>
              <w:t xml:space="preserve">int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✓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✘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✘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✘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Style w:val="DataTypeTok"/>
              </w:rPr>
              <w:t xml:space="preserve">float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✓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✓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✘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✘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Style w:val="DataTypeTok"/>
              </w:rPr>
              <w:t xml:space="preserve">double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✓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✓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✓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✘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Style w:val="DataTypeTok"/>
              </w:rPr>
              <w:t xml:space="preserve">decimal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✓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✘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✘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✓</m:t>
              </m:r>
            </m:oMath>
          </w:p>
        </w:tc>
      </w:tr>
    </w:tbl>
    <w:bookmarkEnd w:id="29"/>
    <w:bookmarkStart w:id="30" w:name="result-type-of-operations"/>
    <w:p>
      <w:pPr>
        <w:pStyle w:val="Heading1"/>
      </w:pPr>
      <w:r>
        <w:t xml:space="preserve">Result Type of Operations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int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float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double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decimal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Style w:val="DataTypeTok"/>
              </w:rPr>
              <w:t xml:space="preserve">int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int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float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double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decimal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Style w:val="DataTypeTok"/>
              </w:rPr>
              <w:t xml:space="preserve">float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float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float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double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illegal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Style w:val="DataTypeTok"/>
              </w:rPr>
              <w:t xml:space="preserve">double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double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double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double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illegal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Style w:val="DataTypeTok"/>
              </w:rPr>
              <w:t xml:space="preserve">decimal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decimal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illegal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illegal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DataTypeTok"/>
              </w:rPr>
              <w:t xml:space="preserve">decimal</w:t>
            </w:r>
          </w:p>
        </w:tc>
      </w:tr>
    </w:tbl>
    <w:bookmarkEnd w:id="30"/>
    <w:bookmarkStart w:id="37" w:name="references"/>
    <w:p>
      <w:pPr>
        <w:pStyle w:val="Heading1"/>
      </w:pPr>
      <w:r>
        <w:t xml:space="preserve">References</w:t>
      </w:r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https://docs.microsoft.com/en-us/dotnet/csharp/tour-of-csharp/types-and-variables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https://docs.microsoft.com/en-us/dotnet/csharp/language-reference/keywords/integral-types-table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https://docs.microsoft.com/en-us/dotnet/csharp/language-reference/keywords/floating-point-types-table</w:t>
        </w:r>
      </w:hyperlink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https://docs.microsoft.com/en-us/dotnet/csharp/language-reference/keywords/value-types-table</w:t>
        </w:r>
      </w:hyperlink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https://docs.microsoft.com/en-us/dotnet/csharp/language-reference/keywords/implicit-numeric-conversions-table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https://docs.microsoft.com/en-us/dotnet/csharp/language-reference/keywords/explicit-numeric-conversions-table</w:t>
        </w:r>
      </w:hyperlink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36" Target="https://docs.microsoft.com/en-us/dotnet/csharp/language-reference/keywords/explicit-numeric-conversions-table" TargetMode="External" /><Relationship Type="http://schemas.openxmlformats.org/officeDocument/2006/relationships/hyperlink" Id="rId33" Target="https://docs.microsoft.com/en-us/dotnet/csharp/language-reference/keywords/floating-point-types-table" TargetMode="External" /><Relationship Type="http://schemas.openxmlformats.org/officeDocument/2006/relationships/hyperlink" Id="rId35" Target="https://docs.microsoft.com/en-us/dotnet/csharp/language-reference/keywords/implicit-numeric-conversions-table" TargetMode="External" /><Relationship Type="http://schemas.openxmlformats.org/officeDocument/2006/relationships/hyperlink" Id="rId32" Target="https://docs.microsoft.com/en-us/dotnet/csharp/language-reference/keywords/integral-types-table" TargetMode="External" /><Relationship Type="http://schemas.openxmlformats.org/officeDocument/2006/relationships/hyperlink" Id="rId34" Target="https://docs.microsoft.com/en-us/dotnet/csharp/language-reference/keywords/value-types-table" TargetMode="External" /><Relationship Type="http://schemas.openxmlformats.org/officeDocument/2006/relationships/hyperlink" Id="rId31" Target="https://docs.microsoft.com/en-us/dotnet/csharp/tour-of-csharp/types-and-variable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36" Target="https://docs.microsoft.com/en-us/dotnet/csharp/language-reference/keywords/explicit-numeric-conversions-table" TargetMode="External" /><Relationship Type="http://schemas.openxmlformats.org/officeDocument/2006/relationships/hyperlink" Id="rId33" Target="https://docs.microsoft.com/en-us/dotnet/csharp/language-reference/keywords/floating-point-types-table" TargetMode="External" /><Relationship Type="http://schemas.openxmlformats.org/officeDocument/2006/relationships/hyperlink" Id="rId35" Target="https://docs.microsoft.com/en-us/dotnet/csharp/language-reference/keywords/implicit-numeric-conversions-table" TargetMode="External" /><Relationship Type="http://schemas.openxmlformats.org/officeDocument/2006/relationships/hyperlink" Id="rId32" Target="https://docs.microsoft.com/en-us/dotnet/csharp/language-reference/keywords/integral-types-table" TargetMode="External" /><Relationship Type="http://schemas.openxmlformats.org/officeDocument/2006/relationships/hyperlink" Id="rId34" Target="https://docs.microsoft.com/en-us/dotnet/csharp/language-reference/keywords/value-types-table" TargetMode="External" /><Relationship Type="http://schemas.openxmlformats.org/officeDocument/2006/relationships/hyperlink" Id="rId31" Target="https://docs.microsoft.com/en-us/dotnet/csharp/tour-of-csharp/types-and-variabl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Datatypes in C#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2021-08-13T11:59:55Z</dcterms:created>
  <dcterms:modified xsi:type="dcterms:W3CDTF">2021-08-13T11:59:55Z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(07:59:47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