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5.svg" ContentType="image/svg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04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3, 2020</w:t>
      </w:r>
    </w:p>
    <w:p>
      <w:pPr>
        <w:pStyle w:val="Heading1"/>
      </w:pPr>
      <w:bookmarkStart w:id="20" w:name="last-time---datatypes-and-variables"/>
      <w:r>
        <w:t xml:space="preserve">Last Time - Datatypes and Variables</w:t>
      </w:r>
      <w:bookmarkEnd w:id="20"/>
    </w:p>
    <w:p>
      <w:pPr>
        <w:numPr>
          <w:ilvl w:val="0"/>
          <w:numId w:val="1001"/>
        </w:numPr>
        <w:pStyle w:val="Compact"/>
      </w:pPr>
      <w:r>
        <w:t xml:space="preserve">Presentation of the different datatypes (value types and reference types).</w:t>
      </w:r>
    </w:p>
    <w:p>
      <w:pPr>
        <w:numPr>
          <w:ilvl w:val="0"/>
          <w:numId w:val="1001"/>
        </w:numPr>
        <w:pStyle w:val="Compact"/>
      </w:pPr>
      <w:r>
        <w:t xml:space="preserve">Decreasing precision from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t xml:space="preserve">Corresponding literals.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int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variables: declaration, assignment, initialization, and manipulation.</w:t>
      </w:r>
    </w:p>
    <w:p>
      <w:pPr>
        <w:numPr>
          <w:ilvl w:val="0"/>
          <w:numId w:val="1001"/>
        </w:numPr>
        <w:pStyle w:val="Compact"/>
      </w:pPr>
      <w:r>
        <w:t xml:space="preserve">Miscellaneous information on variables and introduction to numeric operations.</w:t>
      </w:r>
    </w:p>
    <w:p>
      <w:pPr>
        <w:pStyle w:val="Heading1"/>
      </w:pPr>
      <w:bookmarkStart w:id="21" w:name="operations-on-int-reminder"/>
      <w:r>
        <w:t xml:space="preserve">Operations on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(reminder)</w:t>
      </w:r>
      <w:bookmarkEnd w:id="21"/>
    </w:p>
    <w:p>
      <w:pPr>
        <w:pStyle w:val="FirstParagraph"/>
      </w:pPr>
      <w:r>
        <w:t xml:space="preserve">Suppose we are given 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variable,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, with which we can perform the following operations: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Operation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Arithmetic Operator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Algebraic Expression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Expression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Addition</w:t>
            </w:r>
          </w:p>
        </w:tc>
        <w:tc>
          <w:p>
            <w:pPr>
              <w:pStyle w:val="Compact"/>
              <w:jc w:val="left"/>
            </w:pPr>
            <m:oMath>
              <m:r>
                <m:t>+</m:t>
              </m:r>
            </m:oMath>
          </w:p>
        </w:tc>
        <w:tc>
          <w:p>
            <w:pPr>
              <w:pStyle w:val="Compact"/>
              <w:jc w:val="left"/>
            </w:pPr>
            <m:oMath>
              <m:r>
                <m:t>x</m:t>
              </m:r>
              <m:r>
                <m:t>+</m:t>
              </m:r>
              <m:r>
                <m:t>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myVar + 7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Substraction</w:t>
            </w:r>
          </w:p>
        </w:tc>
        <w:tc>
          <w:p>
            <w:pPr>
              <w:pStyle w:val="Compact"/>
              <w:jc w:val="left"/>
            </w:pPr>
            <m:oMath>
              <m:r>
                <m:t>−</m:t>
              </m:r>
            </m:oMath>
          </w:p>
        </w:tc>
        <w:tc>
          <w:p>
            <w:pPr>
              <w:pStyle w:val="Compact"/>
              <w:jc w:val="left"/>
            </w:pPr>
            <m:oMath>
              <m:r>
                <m:t>x</m:t>
              </m:r>
              <m:r>
                <m:t>−</m:t>
              </m:r>
              <m:r>
                <m:t>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myVar - 7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Multiplication</w:t>
            </w:r>
          </w:p>
        </w:tc>
        <w:tc>
          <w:p>
            <w:pPr>
              <w:pStyle w:val="Compact"/>
              <w:jc w:val="left"/>
            </w:pPr>
            <m:oMath>
              <m:r>
                <m:t>*</m:t>
              </m:r>
            </m:oMath>
          </w:p>
        </w:tc>
        <w:tc>
          <w:p>
            <w:pPr>
              <w:pStyle w:val="Compact"/>
              <w:jc w:val="left"/>
            </w:pPr>
            <m:oMath>
              <m:r>
                <m:t>x</m:t>
              </m:r>
              <m:r>
                <m:t>×</m:t>
              </m:r>
              <m:r>
                <m:t>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myVar * 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Division</w:t>
            </w:r>
          </w:p>
        </w:tc>
        <w:tc>
          <w:p>
            <w:pPr>
              <w:pStyle w:val="Compact"/>
              <w:jc w:val="left"/>
            </w:pPr>
            <m:oMath>
              <m:r>
                <m:t>/</m:t>
              </m:r>
            </m:oMath>
          </w:p>
        </w:tc>
        <w:tc>
          <w:p>
            <w:pPr>
              <w:pStyle w:val="Compact"/>
              <w:jc w:val="left"/>
            </w:pPr>
            <m:oMath>
              <m:r>
                <m:t>x</m:t>
              </m:r>
              <m:r>
                <m:t>/</m:t>
              </m:r>
              <m:r>
                <m:t>7</m:t>
              </m:r>
            </m:oMath>
            <w:r>
              <w:t xml:space="preserve">,</w:t>
            </w:r>
            <w:r>
              <w:t xml:space="preserve"> </w:t>
            </w:r>
            <m:oMath>
              <m:r>
                <m:t>x</m:t>
              </m:r>
              <m:r>
                <m:t>÷</m:t>
              </m:r>
              <m:r>
                <m:t>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myVar / 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Remainder (a.k.a. modulo)</w:t>
            </w:r>
          </w:p>
        </w:tc>
        <w:tc>
          <w:p>
            <w:pPr>
              <w:pStyle w:val="Compact"/>
              <w:jc w:val="left"/>
            </w:pPr>
            <m:oMath>
              <m:r>
                <m:t>%</m:t>
              </m:r>
            </m:oMath>
          </w:p>
        </w:tc>
        <w:tc>
          <w:p>
            <w:pPr>
              <w:pStyle w:val="Compact"/>
              <w:jc w:val="left"/>
            </w:pPr>
            <m:oMath>
              <m:r>
                <m:t>x</m:t>
              </m:r>
              <m:box>
                <m:boxPr>
                  <m:opEmu m:val="1"/>
                </m:boxPr>
                <m:e>
                  <m:r>
                    <m:t>mod</m:t>
                  </m:r>
                </m:e>
              </m:box>
              <m:r>
                <m:t>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myVar % 7</w:t>
            </w:r>
          </w:p>
        </w:tc>
      </w:tr>
    </w:tbl>
    <w:p>
      <w:pPr>
        <w:pStyle w:val="BodyText"/>
      </w:pPr>
      <w:r>
        <w:t xml:space="preserve">For the remainder, courtesy of</w:t>
      </w:r>
      <w:r>
        <w:t xml:space="preserve"> </w:t>
      </w:r>
      <w:hyperlink r:id="rId22">
        <w:r>
          <w:rPr>
            <w:rStyle w:val="Hyperlink"/>
          </w:rPr>
          <w:t xml:space="preserve">wikipedia</w:t>
        </w:r>
      </w:hyperlink>
      <w:r>
        <w:t xml:space="preserve">:</w:t>
      </w:r>
    </w:p>
    <w:p>
      <w:pPr>
        <w:pStyle w:val="BlockText"/>
      </w:pPr>
      <w:r>
        <w:t xml:space="preserve">For example, the expression</w:t>
      </w:r>
      <w:r>
        <w:t xml:space="preserve"> </w:t>
      </w:r>
      <w:r>
        <w:t xml:space="preserve">“</w:t>
      </w:r>
      <w:r>
        <w:t xml:space="preserve">5 mod 2</w:t>
      </w:r>
      <w:r>
        <w:t xml:space="preserve">”</w:t>
      </w:r>
      <w:r>
        <w:t xml:space="preserve"> </w:t>
      </w:r>
      <w:r>
        <w:t xml:space="preserve">would evaluate to 1, because 5 divided by 2 has a quotient of 2 and a remainder of 1, while</w:t>
      </w:r>
      <w:r>
        <w:t xml:space="preserve"> </w:t>
      </w:r>
      <w:r>
        <w:t xml:space="preserve">“</w:t>
      </w:r>
      <w:r>
        <w:t xml:space="preserve">9 mod 3</w:t>
      </w:r>
      <w:r>
        <w:t xml:space="preserve">”</w:t>
      </w:r>
      <w:r>
        <w:t xml:space="preserve"> </w:t>
      </w:r>
      <w:r>
        <w:t xml:space="preserve">would evaluate to 0, because the division of 9 by 3 has a quotient of 3 and a remainder of 0; there is nothing to subtract from 9 after multiplying 3 times 3.</w:t>
      </w:r>
    </w:p>
    <w:p>
      <w:pPr>
        <w:pStyle w:val="FirstParagraph"/>
      </w:pPr>
      <w:r>
        <w:t xml:space="preserve">We use</w:t>
      </w:r>
      <w:r>
        <w:t xml:space="preserve"> </w:t>
      </w:r>
      <w:r>
        <w:rPr>
          <w:rStyle w:val="VerbatimChar"/>
        </w:rPr>
        <w:t xml:space="preserve">=</w:t>
      </w:r>
      <w:r>
        <w:t xml:space="preserve"> </w:t>
      </w:r>
      <w:r>
        <w:t xml:space="preserve">to assing a value to a variable, but we can also use</w:t>
      </w:r>
      <w:r>
        <w:t xml:space="preserve"> </w:t>
      </w:r>
      <w:r>
        <w:rPr>
          <w:rStyle w:val="VerbatimChar"/>
        </w:rPr>
        <w:t xml:space="preserve">=</w:t>
      </w:r>
      <w:r>
        <w:t xml:space="preserve"> </w:t>
      </w:r>
      <w:r>
        <w:t xml:space="preserve">followed by one of the previous operator to obtain an</w:t>
      </w:r>
      <w:r>
        <w:t xml:space="preserve"> </w:t>
      </w:r>
      <w:r>
        <w:t xml:space="preserve">“</w:t>
      </w:r>
      <w:r>
        <w:t xml:space="preserve">augmented assignment operators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compound assignment operators</w:t>
      </w:r>
      <w:r>
        <w:t xml:space="preserve">”</w:t>
      </w:r>
      <w:r>
        <w:t xml:space="preserve">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b, c; </w:t>
      </w:r>
      <w:r>
        <w:rPr>
          <w:rStyle w:val="CommentTok"/>
        </w:rPr>
        <w:t xml:space="preserve">// Multiple declarations with an assignment.</w:t>
      </w:r>
      <w:r>
        <w:br/>
      </w:r>
      <w:r>
        <w:rPr>
          <w:rStyle w:val="NormalTok"/>
        </w:rPr>
        <w:t xml:space="preserve">b = </w:t>
      </w:r>
      <w:r>
        <w:rPr>
          <w:rStyle w:val="DecValTok"/>
        </w:rPr>
        <w:t xml:space="preserve">34</w:t>
      </w:r>
      <w:r>
        <w:rPr>
          <w:rStyle w:val="NormalTok"/>
        </w:rPr>
        <w:t xml:space="preserve"> + a;</w:t>
      </w:r>
      <w:r>
        <w:br/>
      </w:r>
      <w:r>
        <w:rPr>
          <w:rStyle w:val="NormalTok"/>
        </w:rPr>
        <w:t xml:space="preserve">a = a -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Self-assignment</w:t>
      </w:r>
      <w:r>
        <w:br/>
      </w:r>
      <w:r>
        <w:rPr>
          <w:rStyle w:val="NormalTok"/>
        </w:rPr>
        <w:t xml:space="preserve">a -=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Shorthand, this is the same as a = a - 1;</w:t>
      </w:r>
    </w:p>
    <w:p>
      <w:pPr>
        <w:pStyle w:val="Heading1"/>
      </w:pPr>
      <w:bookmarkStart w:id="23" w:name="X988b442732476b4fdd7b6846484a52891bbe306"/>
      <w:r>
        <w:t xml:space="preserve">Implicit and Explicit Conversions Between Numeric Datatypes</w:t>
      </w:r>
      <w:bookmarkEnd w:id="23"/>
    </w:p>
    <w:p>
      <w:pPr>
        <w:pStyle w:val="FirstParagraph"/>
      </w:pPr>
      <w:r>
        <w:t xml:space="preserve">As we saw</w:t>
      </w:r>
      <w:r>
        <w:t xml:space="preserve"> </w:t>
      </w:r>
      <w:hyperlink r:id="rId24">
        <w:r>
          <w:rPr>
            <w:rStyle w:val="Hyperlink"/>
          </w:rPr>
          <w:t xml:space="preserve">in the cheatsheet</w:t>
        </w:r>
      </w:hyperlink>
      <w:r>
        <w:t xml:space="preserve">, we can store e.g. a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 </w:t>
      </w:r>
      <w:r>
        <w:t xml:space="preserve">literal inside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variable (that’s an automatic, or</w:t>
      </w:r>
      <w:r>
        <w:t xml:space="preserve"> </w:t>
      </w:r>
      <w:r>
        <w:rPr>
          <w:i/>
        </w:rPr>
        <w:t xml:space="preserve">implicit</w:t>
      </w:r>
      <w:r>
        <w:t xml:space="preserve"> </w:t>
      </w:r>
      <w:r>
        <w:t xml:space="preserve">conversion), but we can not store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literal inside a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 </w:t>
      </w:r>
      <w:r>
        <w:t xml:space="preserve">variable.</w:t>
      </w:r>
      <w:r>
        <w:t xml:space="preserve"> </w:t>
      </w:r>
      <w:r>
        <w:t xml:space="preserve">C# refuses to do this</w:t>
      </w:r>
      <w:r>
        <w:t xml:space="preserve"> </w:t>
      </w:r>
      <w:r>
        <w:t xml:space="preserve">“</w:t>
      </w:r>
      <w:r>
        <w:t xml:space="preserve">automatically</w:t>
      </w:r>
      <w:r>
        <w:t xml:space="preserve">”</w:t>
      </w:r>
      <w:r>
        <w:t xml:space="preserve">, because we risk to lose information, but we can</w:t>
      </w:r>
      <w:r>
        <w:t xml:space="preserve"> </w:t>
      </w:r>
      <w:r>
        <w:t xml:space="preserve">“</w:t>
      </w:r>
      <w:r>
        <w:t xml:space="preserve">force</w:t>
      </w:r>
      <w:r>
        <w:t xml:space="preserve">”</w:t>
      </w:r>
      <w:r>
        <w:t xml:space="preserve"> </w:t>
      </w:r>
      <w:r>
        <w:t xml:space="preserve">it to perform this operation</w:t>
      </w:r>
      <w:r>
        <w:t xml:space="preserve"> </w:t>
      </w:r>
      <w:r>
        <w:rPr>
          <w:i/>
        </w:rPr>
        <w:t xml:space="preserve">explicitly</w:t>
      </w:r>
      <w:r>
        <w:t xml:space="preserve"> </w:t>
      </w:r>
      <w:r>
        <w:t xml:space="preserve">using</w:t>
      </w:r>
      <w:r>
        <w:t xml:space="preserve"> </w:t>
      </w:r>
      <w:r>
        <w:rPr>
          <w:i/>
        </w:rPr>
        <w:t xml:space="preserve">cast operators</w:t>
      </w:r>
      <w:r>
        <w:t xml:space="preserve">.</w:t>
      </w:r>
    </w:p>
    <w:p>
      <w:pPr>
        <w:pStyle w:val="SourceCode"/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b = </w:t>
      </w:r>
      <w:r>
        <w:rPr>
          <w:rStyle w:val="FloatTok"/>
        </w:rPr>
        <w:t xml:space="preserve">4.7F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 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 b; </w:t>
      </w:r>
      <w:r>
        <w:rPr>
          <w:rStyle w:val="CommentTok"/>
        </w:rPr>
        <w:t xml:space="preserve">// A cast operator is simply the name of the datatype between parenthesis. Here, we convert a float into an int.</w:t>
      </w:r>
    </w:p>
    <w:p>
      <w:pPr>
        <w:pStyle w:val="FirstParagraph"/>
      </w:pPr>
      <w:r>
        <w:t xml:space="preserve">Using casting allows us to go</w:t>
      </w:r>
      <w:r>
        <w:t xml:space="preserve"> </w:t>
      </w:r>
      <w:r>
        <w:t xml:space="preserve">“</w:t>
      </w:r>
      <w:r>
        <w:t xml:space="preserve">against</w:t>
      </w:r>
      <w:r>
        <w:t xml:space="preserve">”</w:t>
      </w:r>
      <w:r>
        <w:t xml:space="preserve"> </w:t>
      </w:r>
      <w:r>
        <w:t xml:space="preserve">those safe-guards, and can lead to the following complications:</w:t>
      </w:r>
    </w:p>
    <w:p>
      <w:pPr>
        <w:numPr>
          <w:ilvl w:val="0"/>
          <w:numId w:val="1002"/>
        </w:numPr>
        <w:pStyle w:val="Compact"/>
      </w:pPr>
      <w:r>
        <w:t xml:space="preserve">Storing an imprecise number using a precise datatype (e.g. from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).</w:t>
      </w:r>
    </w:p>
    <w:p>
      <w:pPr>
        <w:numPr>
          <w:ilvl w:val="0"/>
          <w:numId w:val="1002"/>
        </w:numPr>
        <w:pStyle w:val="Compact"/>
      </w:pPr>
      <w:r>
        <w:t xml:space="preserve">Truncating a floating-point number as a</w:t>
      </w:r>
      <w:r>
        <w:t xml:space="preserve"> </w:t>
      </w:r>
      <w:r>
        <w:t xml:space="preserve">“</w:t>
      </w:r>
      <w:r>
        <w:t xml:space="preserve">truncated</w:t>
      </w:r>
      <w:r>
        <w:t xml:space="preserve">”</w:t>
      </w:r>
      <w:r>
        <w:t xml:space="preserve"> </w:t>
      </w:r>
      <w:r>
        <w:t xml:space="preserve">number (e.g. from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).</w:t>
      </w:r>
    </w:p>
    <w:p>
      <w:pPr>
        <w:numPr>
          <w:ilvl w:val="0"/>
          <w:numId w:val="1002"/>
        </w:numPr>
        <w:pStyle w:val="Compact"/>
      </w:pPr>
      <w:r>
        <w:t xml:space="preserve">Rounding a precise number to fit a less precise datatype (e.g. from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).</w:t>
      </w:r>
    </w:p>
    <w:p>
      <w:pPr>
        <w:pStyle w:val="FirstParagraph"/>
      </w:pPr>
      <w:r>
        <w:drawing>
          <wp:inline>
            <wp:extent cx="5334000" cy="3130826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drawings/conversions.sv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13082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Note that</w:t>
      </w:r>
      <w:r>
        <w:t xml:space="preserve"> </w:t>
      </w:r>
      <w:r>
        <w:rPr>
          <w:i/>
        </w:rPr>
        <w:t xml:space="preserve">you can</w:t>
      </w:r>
      <w:r>
        <w:t xml:space="preserve">, actually, store a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 </w:t>
      </w:r>
      <w:r>
        <w:t xml:space="preserve">literal inside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but that you</w:t>
      </w:r>
      <w:r>
        <w:t xml:space="preserve"> </w:t>
      </w:r>
      <w:r>
        <w:rPr>
          <w:i/>
        </w:rPr>
        <w:t xml:space="preserve">can not</w:t>
      </w:r>
      <w:r>
        <w:t xml:space="preserve"> </w:t>
      </w:r>
      <w:r>
        <w:t xml:space="preserve">store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 </w:t>
      </w:r>
      <w:r>
        <w:t xml:space="preserve">or a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 </w:t>
      </w:r>
      <w:r>
        <w:t xml:space="preserve">literal inside a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.</w:t>
      </w:r>
    </w:p>
    <w:p>
      <w:pPr>
        <w:pStyle w:val="Heading1"/>
      </w:pPr>
      <w:bookmarkStart w:id="26" w:name="operations-on-other-numerical-datatypes"/>
      <w:r>
        <w:t xml:space="preserve">Operations on other numerical datatypes</w:t>
      </w:r>
      <w:bookmarkEnd w:id="26"/>
    </w:p>
    <w:p>
      <w:pPr>
        <w:pStyle w:val="FirstParagraph"/>
      </w:pPr>
      <w:r>
        <w:t xml:space="preserve">Actually, there is a</w:t>
      </w:r>
      <w:r>
        <w:t xml:space="preserve"> </w:t>
      </w:r>
      <w:r>
        <w:rPr>
          <w:rStyle w:val="VerbatimChar"/>
        </w:rPr>
        <w:t xml:space="preserve">+</w:t>
      </w:r>
      <w:r>
        <w:t xml:space="preserve"> </w:t>
      </w:r>
      <w:r>
        <w:t xml:space="preserve">operator for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, and the same goes for</w:t>
      </w:r>
      <w:r>
        <w:t xml:space="preserve"> </w:t>
      </w:r>
      <w:r>
        <w:rPr>
          <w:rStyle w:val="VerbatimChar"/>
        </w:rPr>
        <w:t xml:space="preserve">-</w:t>
      </w:r>
      <w:r>
        <w:t xml:space="preserve">,</w:t>
      </w:r>
      <w:r>
        <w:t xml:space="preserve"> </w:t>
      </w:r>
      <w:r>
        <w:rPr>
          <w:rStyle w:val="VerbatimChar"/>
        </w:rPr>
        <w:t xml:space="preserve">*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%</w:t>
      </w:r>
    </w:p>
    <w:p>
      <w:pPr>
        <w:pStyle w:val="BodyText"/>
      </w:pPr>
      <w:r>
        <w:t xml:space="preserve">Casting can be useful when one wants to divide integers: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pie =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person 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Operation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Result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Type of the multiplication used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pie / person</w:t>
            </w:r>
          </w:p>
        </w:tc>
        <w:tc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(float)pie / person</w:t>
            </w:r>
          </w:p>
        </w:tc>
        <w:tc>
          <w:p>
            <w:pPr>
              <w:pStyle w:val="Compact"/>
              <w:jc w:val="left"/>
            </w:pPr>
            <w:r>
              <w:t xml:space="preserve">4.2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float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pie / (float)person</w:t>
            </w:r>
          </w:p>
        </w:tc>
        <w:tc>
          <w:p>
            <w:pPr>
              <w:pStyle w:val="Compact"/>
              <w:jc w:val="left"/>
            </w:pPr>
            <w:r>
              <w:t xml:space="preserve">4.2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float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(float)(pie / person)</w:t>
            </w:r>
          </w:p>
        </w:tc>
        <w:tc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int</w:t>
            </w:r>
          </w:p>
        </w:tc>
      </w:tr>
    </w:tbl>
    <w:p>
      <w:pPr>
        <w:pStyle w:val="BodyText"/>
      </w:pPr>
      <w:r>
        <w:t xml:space="preserve">Note that the integer division simply</w:t>
      </w:r>
      <w:r>
        <w:t xml:space="preserve"> </w:t>
      </w:r>
      <w:r>
        <w:t xml:space="preserve">“</w:t>
      </w:r>
      <w:r>
        <w:t xml:space="preserve">truncates</w:t>
      </w:r>
      <w:r>
        <w:t xml:space="preserve">”</w:t>
      </w:r>
      <w:r>
        <w:t xml:space="preserve">, and does not round up (that is,</w:t>
      </w:r>
      <w:r>
        <w:t xml:space="preserve"> </w:t>
      </w:r>
      <w:r>
        <w:rPr>
          <w:rStyle w:val="VerbatimChar"/>
        </w:rPr>
        <w:t xml:space="preserve">19 / 10</w:t>
      </w:r>
      <w:r>
        <w:t xml:space="preserve"> </w:t>
      </w:r>
      <w:r>
        <w:t xml:space="preserve">would return 1).</w:t>
      </w:r>
    </w:p>
    <w:p>
      <w:pPr>
        <w:pStyle w:val="BodyText"/>
      </w:pPr>
      <w:r>
        <w:t xml:space="preserve">Also note that in</w:t>
      </w:r>
      <w:r>
        <w:t xml:space="preserve"> </w:t>
      </w:r>
      <w:r>
        <w:t xml:space="preserve">“</w:t>
      </w:r>
      <w:r>
        <w:t xml:space="preserve">4.2</w:t>
      </w:r>
      <w:r>
        <w:t xml:space="preserve">”</w:t>
      </w:r>
      <w:r>
        <w:t xml:space="preserve">,</w:t>
      </w:r>
      <w:r>
        <w:t xml:space="preserve"> </w:t>
      </w:r>
      <w:r>
        <w:t xml:space="preserve">“</w:t>
      </w:r>
      <w:r>
        <w:t xml:space="preserve">4</w:t>
      </w:r>
      <w:r>
        <w:t xml:space="preserve">”</w:t>
      </w:r>
      <w:r>
        <w:t xml:space="preserve"> </w:t>
      </w:r>
      <w:r>
        <w:t xml:space="preserve">is the integer,</w:t>
      </w:r>
      <w:r>
        <w:t xml:space="preserve"> </w:t>
      </w:r>
      <w:r>
        <w:t xml:space="preserve">“</w:t>
      </w:r>
      <w:r>
        <w:t xml:space="preserve">.</w:t>
      </w:r>
      <w:r>
        <w:t xml:space="preserve">”</w:t>
      </w:r>
      <w:r>
        <w:t xml:space="preserve"> </w:t>
      </w:r>
      <w:r>
        <w:t xml:space="preserve">(period) is the decimal separator, not to be mixed with</w:t>
      </w:r>
      <w:r>
        <w:t xml:space="preserve"> </w:t>
      </w:r>
      <w:r>
        <w:t xml:space="preserve">“</w:t>
      </w:r>
      <w:r>
        <w:t xml:space="preserve">,</w:t>
      </w:r>
      <w:r>
        <w:t xml:space="preserve">”</w:t>
      </w:r>
      <w:r>
        <w:t xml:space="preserve"> </w:t>
      </w:r>
      <w:r>
        <w:t xml:space="preserve">(comma), the thousands separator.</w:t>
      </w:r>
    </w:p>
    <w:p>
      <w:pPr>
        <w:pStyle w:val="BodyText"/>
      </w:pPr>
      <w:r>
        <w:t xml:space="preserve">When performing an operation involving different datatypes, the result type of the operation is the</w:t>
      </w:r>
      <w:r>
        <w:t xml:space="preserve"> </w:t>
      </w:r>
      <w:r>
        <w:t xml:space="preserve">“</w:t>
      </w:r>
      <w:r>
        <w:t xml:space="preserve">most precise</w:t>
      </w:r>
      <w:r>
        <w:t xml:space="preserve">”</w:t>
      </w:r>
      <w:r>
        <w:t xml:space="preserve"> </w:t>
      </w:r>
      <w:r>
        <w:t xml:space="preserve">datatype if it is allowed (i.e., an implicit conversion can take place), otherwise an error is returned.</w:t>
      </w:r>
      <w:r>
        <w:t xml:space="preserve"> </w:t>
      </w:r>
      <w:r>
        <w:t xml:space="preserve">Refer to</w:t>
      </w:r>
      <w:r>
        <w:t xml:space="preserve"> </w:t>
      </w:r>
      <w:hyperlink r:id="rId27">
        <w:r>
          <w:rPr>
            <w:rStyle w:val="Hyperlink"/>
          </w:rPr>
          <w:t xml:space="preserve">the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Result Type of Operations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chart from the cheatsheet</w:t>
        </w:r>
      </w:hyperlink>
      <w:r>
        <w:t xml:space="preserve"> </w:t>
      </w:r>
      <w:r>
        <w:t xml:space="preserve">for more detail.</w:t>
      </w:r>
    </w:p>
    <w:p>
      <w:pPr>
        <w:pStyle w:val="Heading1"/>
      </w:pPr>
      <w:bookmarkStart w:id="28" w:name="operations-on-strings"/>
      <w:r>
        <w:t xml:space="preserve">Operations on Strings</w:t>
      </w:r>
      <w:bookmarkEnd w:id="28"/>
    </w:p>
    <w:p>
      <w:pPr>
        <w:pStyle w:val="FirstParagraph"/>
      </w:pPr>
      <w:r>
        <w:t xml:space="preserve">We saw that we could perform interpolation on strings to</w:t>
      </w:r>
      <w:r>
        <w:t xml:space="preserve"> </w:t>
      </w:r>
      <w:r>
        <w:t xml:space="preserve">“</w:t>
      </w:r>
      <w:r>
        <w:t xml:space="preserve">fetch</w:t>
      </w:r>
      <w:r>
        <w:t xml:space="preserve">”</w:t>
      </w:r>
      <w:r>
        <w:t xml:space="preserve"> </w:t>
      </w:r>
      <w:r>
        <w:t xml:space="preserve">the value of a variable and</w:t>
      </w:r>
      <w:r>
        <w:t xml:space="preserve"> </w:t>
      </w:r>
      <w:r>
        <w:t xml:space="preserve">“</w:t>
      </w:r>
      <w:r>
        <w:t xml:space="preserve">insert</w:t>
      </w:r>
      <w:r>
        <w:t xml:space="preserve">”</w:t>
      </w:r>
      <w:r>
        <w:t xml:space="preserve"> </w:t>
      </w:r>
      <w:r>
        <w:t xml:space="preserve">it into a string; however, we can use other operations as well.</w:t>
      </w:r>
      <w:r>
        <w:t xml:space="preserve"> </w:t>
      </w:r>
      <w:r>
        <w:t xml:space="preserve">For instance, we can use the</w:t>
      </w:r>
      <w:r>
        <w:t xml:space="preserve"> </w:t>
      </w:r>
      <w:r>
        <w:rPr>
          <w:rStyle w:val="VerbatimChar"/>
        </w:rPr>
        <w:t xml:space="preserve">+</w:t>
      </w:r>
      <w:r>
        <w:t xml:space="preserve"> </w:t>
      </w:r>
      <w:r>
        <w:t xml:space="preserve">sign for strings as well, to perform an operation called</w:t>
      </w:r>
      <w:r>
        <w:t xml:space="preserve"> </w:t>
      </w:r>
      <w:r>
        <w:t xml:space="preserve">“</w:t>
      </w:r>
      <w:r>
        <w:t xml:space="preserve">concatenation</w:t>
      </w:r>
      <w:r>
        <w:t xml:space="preserve">”</w:t>
      </w:r>
      <w:r>
        <w:t xml:space="preserve">: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 name = </w:t>
      </w:r>
      <w:r>
        <w:rPr>
          <w:rStyle w:val="StringTok"/>
        </w:rPr>
        <w:t xml:space="preserve">"Bob"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greetings = $</w:t>
      </w:r>
      <w:r>
        <w:rPr>
          <w:rStyle w:val="StringTok"/>
        </w:rPr>
        <w:t xml:space="preserve">"Welcome, {name}!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I'll be your guide."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interpolation</w:t>
      </w:r>
      <w:r>
        <w:br/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text = </w:t>
      </w:r>
      <w:r>
        <w:rPr>
          <w:rStyle w:val="StringTok"/>
        </w:rPr>
        <w:t xml:space="preserve">"Hi there"</w:t>
      </w:r>
      <w:r>
        <w:rPr>
          <w:rStyle w:val="NormalTok"/>
        </w:rPr>
        <w:t xml:space="preserve"> + </w:t>
      </w:r>
      <w:r>
        <w:rPr>
          <w:rStyle w:val="StringTok"/>
        </w:rPr>
        <w:t xml:space="preserve">", my name is Marie."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Concatenation. This "join" the strings together.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(text); </w:t>
      </w:r>
      <w:r>
        <w:rPr>
          <w:rStyle w:val="CommentTok"/>
        </w:rPr>
        <w:t xml:space="preserve">// We can write directly the name of the variable, instead of using interpolation, if we wish.</w:t>
      </w:r>
    </w:p>
    <w:p>
      <w:pPr>
        <w:pStyle w:val="FirstParagraph"/>
      </w:pPr>
      <w:r>
        <w:t xml:space="preserve">Note that the</w:t>
      </w:r>
      <w:r>
        <w:t xml:space="preserve"> </w:t>
      </w:r>
      <w:r>
        <w:rPr>
          <w:rStyle w:val="VerbatimChar"/>
        </w:rPr>
        <w:t xml:space="preserve">+</w:t>
      </w:r>
      <w:r>
        <w:t xml:space="preserve"> </w:t>
      </w:r>
      <w:r>
        <w:t xml:space="preserve">sign denotes different operations depending on the type of the operands (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int</w:t>
      </w:r>
      <w:r>
        <w:t xml:space="preserve">, for instance).</w:t>
      </w:r>
    </w:p>
    <w:p>
      <w:pPr>
        <w:pStyle w:val="Heading1"/>
      </w:pPr>
      <w:bookmarkStart w:id="29" w:name="reading-a-string-from-the-user"/>
      <w:r>
        <w:t xml:space="preserve">Reading a String From the User</w:t>
      </w:r>
      <w:bookmarkEnd w:id="29"/>
    </w:p>
    <w:p>
      <w:pPr>
        <w:pStyle w:val="FirstParagraph"/>
      </w:pPr>
      <w:r>
        <w:t xml:space="preserve">We can ask</w:t>
      </w:r>
      <w:r>
        <w:t xml:space="preserve"> </w:t>
      </w:r>
      <w:r>
        <w:rPr>
          <w:i/>
        </w:rPr>
        <w:t xml:space="preserve">the user</w:t>
      </w:r>
      <w:r>
        <w:t xml:space="preserve"> </w:t>
      </w:r>
      <w:r>
        <w:t xml:space="preserve">to give their name to the program while it is running as RunTime input.</w:t>
      </w:r>
      <w:r>
        <w:t xml:space="preserve"> </w:t>
      </w:r>
      <w:r>
        <w:t xml:space="preserve">We can use a statement like: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 yourFirstName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</w:p>
    <w:p>
      <w:pPr>
        <w:pStyle w:val="FirstParagraph"/>
      </w:pPr>
      <w:r>
        <w:t xml:space="preserve">to store the value entered by the user from the output window in the string variable labeled</w:t>
      </w:r>
      <w:r>
        <w:t xml:space="preserve"> </w:t>
      </w:r>
      <w:r>
        <w:rPr>
          <w:rStyle w:val="VerbatimChar"/>
        </w:rPr>
        <w:t xml:space="preserve">yourFirstName</w:t>
      </w:r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5" Target="media/rId25.svg" /><Relationship Type="http://schemas.openxmlformats.org/officeDocument/2006/relationships/hyperlink" Id="rId24" Target="http://spots.augusta.edu/caubert/teaching/2020/fall/csci1301/weekly/03/datatypes/index.html#compatibility" TargetMode="External" /><Relationship Type="http://schemas.openxmlformats.org/officeDocument/2006/relationships/hyperlink" Id="rId27" Target="http://spots.augusta.edu/caubert/teaching/2020/fall/csci1301/weekly/03/datatypes/index.html#result-type-of-operations" TargetMode="External" /><Relationship Type="http://schemas.openxmlformats.org/officeDocument/2006/relationships/hyperlink" Id="rId22" Target="https://en.wikipedia.org/wiki/Modulo_operation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http://spots.augusta.edu/caubert/teaching/2020/fall/csci1301/weekly/03/datatypes/index.html#compatibility" TargetMode="External" /><Relationship Type="http://schemas.openxmlformats.org/officeDocument/2006/relationships/hyperlink" Id="rId27" Target="http://spots.augusta.edu/caubert/teaching/2020/fall/csci1301/weekly/03/datatypes/index.html#result-type-of-operations" TargetMode="External" /><Relationship Type="http://schemas.openxmlformats.org/officeDocument/2006/relationships/hyperlink" Id="rId22" Target="https://en.wikipedia.org/wiki/Modulo_operatio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04</dc:title>
  <dc:creator>Clément Aubert</dc:creator>
  <dc:language>en</dc:language>
  <cp:keywords>Computer Science, Problem solving methods, Syllabus, Augusta University, Bachelor of Science</cp:keywords>
  <dcterms:created xsi:type="dcterms:W3CDTF">2020-09-03T19:00:59Z</dcterms:created>
  <dcterms:modified xsi:type="dcterms:W3CDTF">2020-09-03T19:00:59Z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